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0409F0" w:rsidP="00E97A22">
            <w:pPr>
              <w:spacing w:line="240" w:lineRule="exact"/>
              <w:jc w:val="center"/>
              <w:rPr>
                <w:rFonts w:ascii="新宋体" w:eastAsia="新宋体" w:hAnsi="新宋体"/>
              </w:rPr>
            </w:pPr>
            <w:r>
              <w:rPr>
                <w:rFonts w:ascii="新宋体" w:eastAsia="新宋体" w:hAnsi="新宋体"/>
              </w:rPr>
              <w:t>5F6-3</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DA23D9" w:rsidP="000F134C">
            <w:pPr>
              <w:spacing w:line="240" w:lineRule="exact"/>
              <w:jc w:val="center"/>
              <w:rPr>
                <w:rFonts w:ascii="新宋体" w:eastAsia="新宋体" w:hAnsi="新宋体"/>
              </w:rPr>
            </w:pPr>
            <w:r>
              <w:rPr>
                <w:rFonts w:ascii="新宋体" w:eastAsia="新宋体" w:hAnsi="新宋体"/>
              </w:rPr>
              <w:t>31</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317035" w:rsidP="000409F0">
            <w:pPr>
              <w:spacing w:line="240" w:lineRule="exact"/>
              <w:jc w:val="center"/>
              <w:rPr>
                <w:rFonts w:ascii="新宋体" w:eastAsia="新宋体" w:hAnsi="新宋体"/>
              </w:rPr>
            </w:pPr>
            <w:r>
              <w:rPr>
                <w:rFonts w:ascii="新宋体" w:eastAsia="新宋体" w:hAnsi="新宋体"/>
              </w:rPr>
              <w:t>1</w:t>
            </w:r>
            <w:r w:rsidR="000409F0">
              <w:rPr>
                <w:rFonts w:ascii="新宋体" w:eastAsia="新宋体" w:hAnsi="新宋体"/>
              </w:rPr>
              <w:t>4</w:t>
            </w:r>
            <w:r w:rsidR="000409F0">
              <w:rPr>
                <w:rFonts w:ascii="新宋体" w:eastAsia="新宋体" w:hAnsi="新宋体" w:hint="eastAsia"/>
              </w:rPr>
              <w:t>:15</w:t>
            </w:r>
            <w:r w:rsidR="002627F4">
              <w:rPr>
                <w:rFonts w:ascii="新宋体" w:eastAsia="新宋体" w:hAnsi="新宋体"/>
              </w:rPr>
              <w:t>-14</w:t>
            </w:r>
            <w:r w:rsidR="002627F4">
              <w:rPr>
                <w:rFonts w:ascii="新宋体" w:eastAsia="新宋体" w:hAnsi="新宋体" w:hint="eastAsia"/>
              </w:rPr>
              <w:t>:</w:t>
            </w:r>
            <w:r w:rsidR="000409F0">
              <w:rPr>
                <w:rFonts w:ascii="新宋体" w:eastAsia="新宋体" w:hAnsi="新宋体" w:hint="eastAsia"/>
              </w:rPr>
              <w:t>30</w:t>
            </w:r>
          </w:p>
        </w:tc>
        <w:tc>
          <w:tcPr>
            <w:tcW w:w="2828" w:type="dxa"/>
          </w:tcPr>
          <w:p w:rsidR="00624524" w:rsidRPr="00624524" w:rsidRDefault="00624524" w:rsidP="00E80457">
            <w:pPr>
              <w:spacing w:line="240" w:lineRule="exact"/>
              <w:jc w:val="center"/>
              <w:rPr>
                <w:rFonts w:ascii="新宋体" w:eastAsia="新宋体" w:hAnsi="新宋体"/>
              </w:rPr>
            </w:pPr>
          </w:p>
          <w:p w:rsidR="000409F0" w:rsidRPr="00624524" w:rsidRDefault="000409F0" w:rsidP="000409F0">
            <w:pPr>
              <w:spacing w:line="240" w:lineRule="exact"/>
              <w:jc w:val="center"/>
              <w:rPr>
                <w:rFonts w:ascii="新宋体" w:eastAsia="新宋体" w:hAnsi="新宋体"/>
              </w:rPr>
            </w:pPr>
            <w:r>
              <w:rPr>
                <w:rFonts w:ascii="新宋体" w:eastAsia="新宋体" w:hAnsi="新宋体"/>
              </w:rPr>
              <w:t>Eng</w:t>
            </w:r>
            <w:r>
              <w:rPr>
                <w:rFonts w:ascii="新宋体" w:eastAsia="新宋体" w:hAnsi="新宋体" w:hint="eastAsia"/>
              </w:rPr>
              <w:t xml:space="preserve"> 英</w:t>
            </w:r>
          </w:p>
        </w:tc>
      </w:tr>
      <w:tr w:rsidR="00F201FC"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F201FC" w:rsidRPr="00624524" w:rsidRDefault="00F201FC" w:rsidP="00F201FC">
            <w:pPr>
              <w:spacing w:line="240" w:lineRule="exact"/>
              <w:jc w:val="center"/>
              <w:rPr>
                <w:rFonts w:ascii="黑体" w:eastAsia="黑体" w:hAnsi="黑体"/>
              </w:rPr>
            </w:pPr>
            <w:r w:rsidRPr="00624524">
              <w:rPr>
                <w:rFonts w:ascii="黑体" w:eastAsia="黑体" w:hAnsi="黑体"/>
              </w:rPr>
              <w:t>姓名</w:t>
            </w:r>
          </w:p>
          <w:p w:rsidR="00F201FC" w:rsidRPr="00624524" w:rsidRDefault="00F201FC" w:rsidP="00F201FC">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0409F0" w:rsidRPr="001D33CB" w:rsidRDefault="000409F0" w:rsidP="000409F0">
            <w:r w:rsidRPr="001D33CB">
              <w:rPr>
                <w:rFonts w:hint="eastAsia"/>
              </w:rPr>
              <w:t>楊琼院長</w:t>
            </w:r>
          </w:p>
          <w:p w:rsidR="00F201FC" w:rsidRDefault="000409F0" w:rsidP="000409F0">
            <w:pPr>
              <w:widowControl/>
              <w:spacing w:line="300" w:lineRule="auto"/>
              <w:rPr>
                <w:kern w:val="0"/>
              </w:rPr>
            </w:pPr>
            <w:r w:rsidRPr="003729D6">
              <w:rPr>
                <w:rFonts w:hint="eastAsia"/>
                <w:kern w:val="0"/>
              </w:rPr>
              <w:t>趙達燊先生</w:t>
            </w:r>
          </w:p>
        </w:tc>
        <w:tc>
          <w:tcPr>
            <w:tcW w:w="2268" w:type="dxa"/>
            <w:tcBorders>
              <w:top w:val="single" w:sz="4" w:space="0" w:color="auto"/>
              <w:left w:val="single" w:sz="4" w:space="0" w:color="auto"/>
              <w:bottom w:val="single" w:sz="4" w:space="0" w:color="auto"/>
              <w:right w:val="single" w:sz="4" w:space="0" w:color="auto"/>
            </w:tcBorders>
          </w:tcPr>
          <w:p w:rsidR="00F201FC" w:rsidRPr="00624524" w:rsidRDefault="00F201FC" w:rsidP="00F201FC">
            <w:pPr>
              <w:spacing w:line="240" w:lineRule="exact"/>
              <w:jc w:val="center"/>
              <w:rPr>
                <w:rFonts w:ascii="黑体" w:eastAsia="黑体" w:hAnsi="黑体"/>
              </w:rPr>
            </w:pPr>
            <w:r w:rsidRPr="00624524">
              <w:rPr>
                <w:rFonts w:ascii="黑体" w:eastAsia="黑体" w:hAnsi="黑体"/>
              </w:rPr>
              <w:t>Name</w:t>
            </w:r>
          </w:p>
          <w:p w:rsidR="00F201FC" w:rsidRPr="00624524" w:rsidRDefault="00F201FC" w:rsidP="00F201FC">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0409F0" w:rsidRPr="000409F0" w:rsidRDefault="000409F0" w:rsidP="000409F0">
            <w:pPr>
              <w:widowControl/>
              <w:spacing w:line="300" w:lineRule="auto"/>
              <w:rPr>
                <w:rFonts w:eastAsia="PMingLiU"/>
                <w:sz w:val="18"/>
                <w:szCs w:val="18"/>
                <w:lang w:eastAsia="zh-HK"/>
              </w:rPr>
            </w:pPr>
            <w:r w:rsidRPr="000409F0">
              <w:rPr>
                <w:rFonts w:eastAsia="PMingLiU" w:hint="eastAsia"/>
                <w:sz w:val="18"/>
                <w:szCs w:val="18"/>
                <w:lang w:eastAsia="zh-HK"/>
              </w:rPr>
              <w:t xml:space="preserve">Ms. </w:t>
            </w:r>
            <w:r w:rsidRPr="000409F0">
              <w:rPr>
                <w:rFonts w:eastAsia="PMingLiU"/>
                <w:sz w:val="18"/>
                <w:szCs w:val="18"/>
                <w:lang w:eastAsia="zh-HK"/>
              </w:rPr>
              <w:t>King Yeung</w:t>
            </w:r>
          </w:p>
          <w:p w:rsidR="00F201FC" w:rsidRPr="000409F0" w:rsidRDefault="000409F0" w:rsidP="000409F0">
            <w:pPr>
              <w:widowControl/>
              <w:spacing w:line="300" w:lineRule="auto"/>
              <w:rPr>
                <w:rFonts w:eastAsia="PMingLiU"/>
                <w:kern w:val="0"/>
                <w:lang w:eastAsia="zh-TW"/>
              </w:rPr>
            </w:pPr>
            <w:r w:rsidRPr="000409F0">
              <w:rPr>
                <w:sz w:val="18"/>
                <w:szCs w:val="18"/>
              </w:rPr>
              <w:t>Mr. Armstrong, Chiu Tat San</w:t>
            </w:r>
          </w:p>
        </w:tc>
      </w:tr>
      <w:tr w:rsidR="000409F0" w:rsidRPr="00A10E43" w:rsidTr="007A6DDF">
        <w:tblPrEx>
          <w:tblLook w:val="0000" w:firstRow="0" w:lastRow="0" w:firstColumn="0" w:lastColumn="0" w:noHBand="0" w:noVBand="0"/>
        </w:tblPrEx>
        <w:trPr>
          <w:trHeight w:val="1116"/>
        </w:trPr>
        <w:tc>
          <w:tcPr>
            <w:tcW w:w="2127" w:type="dxa"/>
            <w:gridSpan w:val="2"/>
          </w:tcPr>
          <w:p w:rsidR="000409F0" w:rsidRPr="006464A8" w:rsidRDefault="000409F0" w:rsidP="000409F0">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0409F0" w:rsidRPr="006464A8" w:rsidRDefault="000409F0" w:rsidP="000409F0">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0409F0" w:rsidRPr="000409F0" w:rsidRDefault="000409F0" w:rsidP="000409F0">
            <w:pPr>
              <w:rPr>
                <w:sz w:val="18"/>
                <w:szCs w:val="18"/>
                <w:lang w:eastAsia="zh-HK"/>
              </w:rPr>
            </w:pPr>
            <w:r w:rsidRPr="000409F0">
              <w:rPr>
                <w:sz w:val="18"/>
                <w:szCs w:val="18"/>
                <w:lang w:eastAsia="zh-HK"/>
              </w:rPr>
              <w:t xml:space="preserve">Kowloon Home for the Aged Blind, Residential Services, The Hong Kong Society for the Blind  </w:t>
            </w:r>
          </w:p>
          <w:p w:rsidR="000409F0" w:rsidRPr="000409F0" w:rsidRDefault="000409F0" w:rsidP="000409F0">
            <w:pPr>
              <w:rPr>
                <w:rFonts w:eastAsia="PMingLiU"/>
                <w:kern w:val="0"/>
                <w:sz w:val="22"/>
                <w:szCs w:val="22"/>
                <w:lang w:eastAsia="zh-TW"/>
              </w:rPr>
            </w:pPr>
            <w:r w:rsidRPr="000409F0">
              <w:rPr>
                <w:rFonts w:eastAsia="PMingLiU" w:hint="eastAsia"/>
                <w:kern w:val="0"/>
                <w:sz w:val="22"/>
                <w:szCs w:val="22"/>
                <w:lang w:eastAsia="zh-TW"/>
              </w:rPr>
              <w:t>香港盲人輔導會</w:t>
            </w:r>
            <w:r w:rsidRPr="000409F0">
              <w:rPr>
                <w:rFonts w:eastAsia="PMingLiU" w:hint="eastAsia"/>
                <w:kern w:val="0"/>
                <w:sz w:val="22"/>
                <w:szCs w:val="22"/>
                <w:lang w:eastAsia="zh-TW"/>
              </w:rPr>
              <w:t xml:space="preserve"> </w:t>
            </w:r>
            <w:r w:rsidRPr="000409F0">
              <w:rPr>
                <w:rFonts w:eastAsia="PMingLiU" w:hint="eastAsia"/>
                <w:kern w:val="0"/>
                <w:sz w:val="22"/>
                <w:szCs w:val="22"/>
                <w:lang w:eastAsia="zh-TW"/>
              </w:rPr>
              <w:t>九龍盲人安老院</w:t>
            </w:r>
          </w:p>
        </w:tc>
      </w:tr>
      <w:tr w:rsidR="000409F0"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0409F0" w:rsidRPr="006464A8" w:rsidRDefault="000409F0" w:rsidP="000409F0">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0409F0" w:rsidRPr="006464A8" w:rsidRDefault="000409F0" w:rsidP="000409F0">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0409F0" w:rsidRPr="000409F0" w:rsidRDefault="000409F0" w:rsidP="000409F0">
            <w:pPr>
              <w:widowControl/>
              <w:spacing w:line="300" w:lineRule="auto"/>
              <w:rPr>
                <w:rFonts w:eastAsia="PMingLiU"/>
                <w:kern w:val="0"/>
                <w:sz w:val="22"/>
                <w:szCs w:val="22"/>
                <w:lang w:eastAsia="zh-TW"/>
              </w:rPr>
            </w:pPr>
            <w:r w:rsidRPr="000409F0">
              <w:rPr>
                <w:rFonts w:eastAsia="PMingLiU"/>
                <w:kern w:val="0"/>
                <w:sz w:val="22"/>
                <w:szCs w:val="22"/>
                <w:lang w:eastAsia="zh-TW"/>
              </w:rPr>
              <w:t>Title: Validation of the Cantonese version of Dementia Quality of Life Measure (DEMQoL) and DEMQoL-Proxy</w:t>
            </w:r>
          </w:p>
        </w:tc>
      </w:tr>
      <w:tr w:rsidR="00356E62" w:rsidRPr="00C43F7A"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356E62" w:rsidRDefault="00356E62" w:rsidP="00356E62">
            <w:pPr>
              <w:widowControl/>
              <w:spacing w:line="300" w:lineRule="auto"/>
              <w:rPr>
                <w:rFonts w:eastAsia="PMingLiU" w:hint="eastAsia"/>
                <w:kern w:val="0"/>
                <w:lang w:eastAsia="zh-TW"/>
              </w:rPr>
            </w:pPr>
            <w:bookmarkStart w:id="0" w:name="_GoBack" w:colFirst="0" w:colLast="1"/>
            <w:r>
              <w:rPr>
                <w:rFonts w:eastAsia="PMingLiU"/>
                <w:kern w:val="0"/>
                <w:lang w:eastAsia="zh-TW"/>
              </w:rPr>
              <w:t>Abstract / ppt</w:t>
            </w:r>
          </w:p>
          <w:p w:rsidR="00356E62" w:rsidRDefault="00356E62" w:rsidP="00356E62">
            <w:pPr>
              <w:widowControl/>
              <w:spacing w:line="300" w:lineRule="auto"/>
              <w:rPr>
                <w:rFonts w:eastAsia="PMingLiU" w:hint="eastAsia"/>
                <w:kern w:val="0"/>
                <w:lang w:eastAsia="zh-TW"/>
              </w:rPr>
            </w:pPr>
            <w:r w:rsidRPr="00D6417A">
              <w:rPr>
                <w:rFonts w:eastAsia="PMingLiU" w:hint="eastAsia"/>
                <w:kern w:val="0"/>
                <w:lang w:eastAsia="zh-TW"/>
              </w:rPr>
              <w:t>摘要</w:t>
            </w:r>
            <w:r>
              <w:rPr>
                <w:rFonts w:eastAsia="PMingLiU"/>
                <w:kern w:val="0"/>
                <w:lang w:eastAsia="zh-TW"/>
              </w:rPr>
              <w:t xml:space="preserve"> / </w:t>
            </w:r>
            <w:r w:rsidRPr="00D6417A">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356E62" w:rsidRPr="003729D6" w:rsidRDefault="00356E62" w:rsidP="00356E62">
            <w:pPr>
              <w:widowControl/>
              <w:spacing w:line="300" w:lineRule="auto"/>
              <w:rPr>
                <w:rFonts w:eastAsia="PMingLiU"/>
                <w:i/>
                <w:kern w:val="0"/>
                <w:sz w:val="22"/>
                <w:szCs w:val="22"/>
                <w:lang w:eastAsia="zh-TW"/>
              </w:rPr>
            </w:pPr>
            <w:r w:rsidRPr="003729D6">
              <w:rPr>
                <w:rFonts w:eastAsia="PMingLiU"/>
                <w:i/>
                <w:kern w:val="0"/>
                <w:sz w:val="22"/>
                <w:szCs w:val="22"/>
                <w:lang w:eastAsia="zh-TW"/>
              </w:rPr>
              <w:t>Abstract</w:t>
            </w:r>
            <w:r>
              <w:rPr>
                <w:rFonts w:eastAsia="PMingLiU"/>
                <w:i/>
                <w:kern w:val="0"/>
                <w:sz w:val="22"/>
                <w:szCs w:val="22"/>
                <w:lang w:eastAsia="zh-TW"/>
              </w:rPr>
              <w:t xml:space="preserve"> ONLY</w:t>
            </w: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Title: Validation of the Cantonese version of Dementia Quality of Life Measure (DEMQoL) and DEMQoL-Proxy</w:t>
            </w: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 xml:space="preserve">Objective: </w:t>
            </w: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The study aims to translate and validate the Cantonese Version of DEMQOL (both client and proxy questionnaire) for the persons with dementia in Hong Kong.</w:t>
            </w:r>
          </w:p>
          <w:p w:rsidR="00356E62" w:rsidRPr="001D33CB" w:rsidRDefault="00356E62" w:rsidP="00356E62">
            <w:pPr>
              <w:widowControl/>
              <w:spacing w:line="300" w:lineRule="auto"/>
              <w:rPr>
                <w:rFonts w:eastAsia="PMingLiU"/>
                <w:i/>
                <w:kern w:val="0"/>
                <w:sz w:val="22"/>
                <w:szCs w:val="22"/>
                <w:lang w:eastAsia="zh-TW"/>
              </w:rPr>
            </w:pP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 xml:space="preserve">Methodology: </w:t>
            </w: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 xml:space="preserve">The English version DEMQOL was translated into Cantonese version (CDEMQOL). An expert panel was formed by experienced allied health professionals to evaluate the cultural adaptability, relevance and quality of translation to assure the contentvalidity of the C-DEMQOL. The C-DEMQOL was examined and administered using the convenient sampling from 4 elderly residential units operated by the Hong Kong Society for the Blind. Total 19 client C-DEMQOL and 93 proxy C-DEMQOL questionnaires were collected. The concurrent validity of C-DEMQOL was examined using the correlation with </w:t>
            </w: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 xml:space="preserve">the Chinese version of the Quality of Life - Alzheimer’s Disease (C-QOL-AD) and convergent validity of C-DEMQOL was evaluated using the correlation with Geriatric Depression Scale Short form (GDS-SF). The internal consistency was test by Cronbach's alpha. Re-test was done within 2 weeks after the initial interview. </w:t>
            </w:r>
          </w:p>
          <w:p w:rsidR="00356E62" w:rsidRPr="001D33CB" w:rsidRDefault="00356E62" w:rsidP="00356E62">
            <w:pPr>
              <w:widowControl/>
              <w:spacing w:line="300" w:lineRule="auto"/>
              <w:rPr>
                <w:rFonts w:eastAsia="PMingLiU"/>
                <w:i/>
                <w:kern w:val="0"/>
                <w:sz w:val="22"/>
                <w:szCs w:val="22"/>
                <w:lang w:eastAsia="zh-TW"/>
              </w:rPr>
            </w:pP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 xml:space="preserve">Data Analysis: </w:t>
            </w: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lastRenderedPageBreak/>
              <w:t xml:space="preserve">The collected data were statistically analyzed using the Statistical Package for the Social Science (SPSS) Software version 23. </w:t>
            </w:r>
          </w:p>
          <w:p w:rsidR="00356E62" w:rsidRPr="001D33CB" w:rsidRDefault="00356E62" w:rsidP="00356E62">
            <w:pPr>
              <w:widowControl/>
              <w:spacing w:line="300" w:lineRule="auto"/>
              <w:rPr>
                <w:rFonts w:eastAsia="PMingLiU"/>
                <w:i/>
                <w:kern w:val="0"/>
                <w:sz w:val="22"/>
                <w:szCs w:val="22"/>
                <w:lang w:eastAsia="zh-TW"/>
              </w:rPr>
            </w:pP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 xml:space="preserve">Result: </w:t>
            </w: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 xml:space="preserve">The content validity was evaluated by the expert panel formed by healthcare professionals and most of the items were considered as culturally relevant. Minor modifications were made accordingly. For the concurrent validity, C-DEMQOL showed a relatively low correlation with C-QOL-AD (r = 0.252; p = 0.33) and a higher significant correlation was presented in the C-DEMQOL-PROXY (r = 0.358; p = 0.001). For the convergent validity which was examined by GDS-SF, C-DEMQOL has high negative correlation with GDS-SF (r = -0.756, p = 0.01) while C-DEMQOL-Proxy report moderate negative correlation with GDS (r = -0.567; p = 0.022). C-DEMQOL also showed good testretest reliability (ICC=0.673; p = 0.05 for client reports and ICC=0.612 ;p = 0.05 in proxy reports) with high internal consistency in both client and proxy that the Cronbach's alphas were 0.928 and 0.915 respectively. </w:t>
            </w:r>
          </w:p>
          <w:p w:rsidR="00356E62" w:rsidRPr="001D33CB" w:rsidRDefault="00356E62" w:rsidP="00356E62">
            <w:pPr>
              <w:widowControl/>
              <w:spacing w:line="300" w:lineRule="auto"/>
              <w:rPr>
                <w:rFonts w:eastAsia="PMingLiU"/>
                <w:i/>
                <w:kern w:val="0"/>
                <w:sz w:val="22"/>
                <w:szCs w:val="22"/>
                <w:lang w:eastAsia="zh-TW"/>
              </w:rPr>
            </w:pP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Conclusion:</w:t>
            </w:r>
          </w:p>
          <w:p w:rsidR="00356E62" w:rsidRPr="001D33CB" w:rsidRDefault="00356E62" w:rsidP="00356E62">
            <w:pPr>
              <w:widowControl/>
              <w:spacing w:line="300" w:lineRule="auto"/>
              <w:rPr>
                <w:rFonts w:eastAsia="PMingLiU"/>
                <w:i/>
                <w:kern w:val="0"/>
                <w:sz w:val="22"/>
                <w:szCs w:val="22"/>
                <w:lang w:eastAsia="zh-TW"/>
              </w:rPr>
            </w:pPr>
            <w:r w:rsidRPr="001D33CB">
              <w:rPr>
                <w:rFonts w:eastAsia="PMingLiU"/>
                <w:i/>
                <w:kern w:val="0"/>
                <w:sz w:val="22"/>
                <w:szCs w:val="22"/>
                <w:lang w:eastAsia="zh-TW"/>
              </w:rPr>
              <w:t>The findings of the study suggested that the C-DEMQOL is preliminarily valid and reliable for assessing the QOL for people with dementia in Hong Kong. Further evidence with a larger sample size is required to demonstrate higher validity in C-DEMQOL and CDEMQOL-Proxy.</w:t>
            </w:r>
          </w:p>
          <w:p w:rsidR="00356E62" w:rsidRPr="001D33CB" w:rsidRDefault="00356E62" w:rsidP="00356E62">
            <w:pPr>
              <w:widowControl/>
              <w:spacing w:line="300" w:lineRule="auto"/>
              <w:rPr>
                <w:rFonts w:eastAsia="PMingLiU" w:hint="eastAsia"/>
                <w:i/>
                <w:kern w:val="0"/>
                <w:sz w:val="22"/>
                <w:szCs w:val="22"/>
                <w:lang w:eastAsia="zh-TW"/>
              </w:rPr>
            </w:pPr>
          </w:p>
        </w:tc>
      </w:tr>
      <w:bookmarkEnd w:id="0"/>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05543F"/>
    <w:multiLevelType w:val="hybridMultilevel"/>
    <w:tmpl w:val="224E65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491414"/>
    <w:multiLevelType w:val="hybridMultilevel"/>
    <w:tmpl w:val="E30C04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A9F8C92"/>
    <w:multiLevelType w:val="singleLevel"/>
    <w:tmpl w:val="5A9F8C92"/>
    <w:lvl w:ilvl="0">
      <w:start w:val="2"/>
      <w:numFmt w:val="upperLetter"/>
      <w:lvlText w:val="%1."/>
      <w:lvlJc w:val="left"/>
      <w:pPr>
        <w:tabs>
          <w:tab w:val="num" w:pos="312"/>
        </w:tabs>
      </w:pPr>
    </w:lvl>
  </w:abstractNum>
  <w:abstractNum w:abstractNumId="6"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9"/>
  </w:num>
  <w:num w:numId="3">
    <w:abstractNumId w:val="12"/>
  </w:num>
  <w:num w:numId="4">
    <w:abstractNumId w:val="4"/>
  </w:num>
  <w:num w:numId="5">
    <w:abstractNumId w:val="6"/>
  </w:num>
  <w:num w:numId="6">
    <w:abstractNumId w:val="13"/>
  </w:num>
  <w:num w:numId="7">
    <w:abstractNumId w:val="7"/>
  </w:num>
  <w:num w:numId="8">
    <w:abstractNumId w:val="0"/>
  </w:num>
  <w:num w:numId="9">
    <w:abstractNumId w:val="8"/>
  </w:num>
  <w:num w:numId="10">
    <w:abstractNumId w:val="3"/>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409F0"/>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627F4"/>
    <w:rsid w:val="00294DFF"/>
    <w:rsid w:val="002D0C3A"/>
    <w:rsid w:val="002F52E7"/>
    <w:rsid w:val="00317035"/>
    <w:rsid w:val="00356E62"/>
    <w:rsid w:val="0036013E"/>
    <w:rsid w:val="00365E01"/>
    <w:rsid w:val="003710EB"/>
    <w:rsid w:val="00382A55"/>
    <w:rsid w:val="003A2B36"/>
    <w:rsid w:val="003E7E78"/>
    <w:rsid w:val="00420B8E"/>
    <w:rsid w:val="00425618"/>
    <w:rsid w:val="004404B7"/>
    <w:rsid w:val="004B12F6"/>
    <w:rsid w:val="004C2E43"/>
    <w:rsid w:val="004D5DBA"/>
    <w:rsid w:val="005360EE"/>
    <w:rsid w:val="005376B1"/>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656E"/>
    <w:rsid w:val="00927B97"/>
    <w:rsid w:val="00931A4D"/>
    <w:rsid w:val="00934A15"/>
    <w:rsid w:val="009600FF"/>
    <w:rsid w:val="009A49BD"/>
    <w:rsid w:val="009C02CA"/>
    <w:rsid w:val="009D26C1"/>
    <w:rsid w:val="00A02BBB"/>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DA23D9"/>
    <w:rsid w:val="00E201D2"/>
    <w:rsid w:val="00E7014D"/>
    <w:rsid w:val="00E82CC4"/>
    <w:rsid w:val="00E84F43"/>
    <w:rsid w:val="00E851CD"/>
    <w:rsid w:val="00E97A22"/>
    <w:rsid w:val="00EB3FBD"/>
    <w:rsid w:val="00ED3CCD"/>
    <w:rsid w:val="00F011C0"/>
    <w:rsid w:val="00F11459"/>
    <w:rsid w:val="00F201FC"/>
    <w:rsid w:val="00F30417"/>
    <w:rsid w:val="00F40B31"/>
    <w:rsid w:val="00F46CF8"/>
    <w:rsid w:val="00F921E7"/>
    <w:rsid w:val="00FA2007"/>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2018-03-26T14:28:00Z</dcterms:created>
  <dcterms:modified xsi:type="dcterms:W3CDTF">2018-03-26T14:28:00Z</dcterms:modified>
</cp:coreProperties>
</file>