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DA23D9" w:rsidP="00E97A22">
            <w:pPr>
              <w:spacing w:line="240" w:lineRule="exact"/>
              <w:jc w:val="center"/>
              <w:rPr>
                <w:rFonts w:ascii="新宋体" w:eastAsia="新宋体" w:hAnsi="新宋体"/>
              </w:rPr>
            </w:pPr>
            <w:r>
              <w:rPr>
                <w:rFonts w:ascii="新宋体" w:eastAsia="新宋体" w:hAnsi="新宋体"/>
              </w:rPr>
              <w:t>5F5-1</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DA23D9" w:rsidP="000F134C">
            <w:pPr>
              <w:spacing w:line="240" w:lineRule="exact"/>
              <w:jc w:val="center"/>
              <w:rPr>
                <w:rFonts w:ascii="新宋体" w:eastAsia="新宋体" w:hAnsi="新宋体"/>
              </w:rPr>
            </w:pPr>
            <w:r>
              <w:rPr>
                <w:rFonts w:ascii="新宋体" w:eastAsia="新宋体" w:hAnsi="新宋体"/>
              </w:rPr>
              <w:t>31</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317035" w:rsidP="00DA23D9">
            <w:pPr>
              <w:spacing w:line="240" w:lineRule="exact"/>
              <w:jc w:val="center"/>
              <w:rPr>
                <w:rFonts w:ascii="新宋体" w:eastAsia="新宋体" w:hAnsi="新宋体"/>
              </w:rPr>
            </w:pPr>
            <w:r>
              <w:rPr>
                <w:rFonts w:ascii="新宋体" w:eastAsia="新宋体" w:hAnsi="新宋体"/>
              </w:rPr>
              <w:t>1</w:t>
            </w:r>
            <w:r w:rsidR="00DA23D9">
              <w:rPr>
                <w:rFonts w:ascii="新宋体" w:eastAsia="新宋体" w:hAnsi="新宋体"/>
              </w:rPr>
              <w:t>0</w:t>
            </w:r>
            <w:r w:rsidR="00DA23D9">
              <w:rPr>
                <w:rFonts w:ascii="新宋体" w:eastAsia="新宋体" w:hAnsi="新宋体" w:hint="eastAsia"/>
              </w:rPr>
              <w:t>：45-11:00</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D0002B"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75048C"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75048C" w:rsidRPr="00624524" w:rsidRDefault="0075048C" w:rsidP="0075048C">
            <w:pPr>
              <w:spacing w:line="240" w:lineRule="exact"/>
              <w:jc w:val="center"/>
              <w:rPr>
                <w:rFonts w:ascii="黑体" w:eastAsia="黑体" w:hAnsi="黑体"/>
              </w:rPr>
            </w:pPr>
            <w:r w:rsidRPr="00624524">
              <w:rPr>
                <w:rFonts w:ascii="黑体" w:eastAsia="黑体" w:hAnsi="黑体"/>
              </w:rPr>
              <w:t>姓名</w:t>
            </w:r>
          </w:p>
          <w:p w:rsidR="0075048C" w:rsidRPr="00624524" w:rsidRDefault="0075048C" w:rsidP="0075048C">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75048C" w:rsidRPr="00DC7E1D" w:rsidRDefault="00DA23D9" w:rsidP="0075048C">
            <w:pPr>
              <w:widowControl/>
              <w:spacing w:line="300" w:lineRule="auto"/>
              <w:rPr>
                <w:kern w:val="0"/>
              </w:rPr>
            </w:pPr>
            <w:r w:rsidRPr="00A96E63">
              <w:rPr>
                <w:rFonts w:ascii="PMingLiU" w:eastAsia="PMingLiU" w:hAnsi="PMingLiU" w:hint="eastAsia"/>
                <w:kern w:val="0"/>
                <w:lang w:eastAsia="zh-TW"/>
              </w:rPr>
              <w:t>曾慶濤</w:t>
            </w:r>
          </w:p>
        </w:tc>
        <w:tc>
          <w:tcPr>
            <w:tcW w:w="2268" w:type="dxa"/>
            <w:tcBorders>
              <w:top w:val="single" w:sz="4" w:space="0" w:color="auto"/>
              <w:left w:val="single" w:sz="4" w:space="0" w:color="auto"/>
              <w:bottom w:val="single" w:sz="4" w:space="0" w:color="auto"/>
              <w:right w:val="single" w:sz="4" w:space="0" w:color="auto"/>
            </w:tcBorders>
          </w:tcPr>
          <w:p w:rsidR="0075048C" w:rsidRPr="00624524" w:rsidRDefault="0075048C" w:rsidP="0075048C">
            <w:pPr>
              <w:spacing w:line="240" w:lineRule="exact"/>
              <w:jc w:val="center"/>
              <w:rPr>
                <w:rFonts w:ascii="黑体" w:eastAsia="黑体" w:hAnsi="黑体"/>
              </w:rPr>
            </w:pPr>
            <w:r w:rsidRPr="00624524">
              <w:rPr>
                <w:rFonts w:ascii="黑体" w:eastAsia="黑体" w:hAnsi="黑体"/>
              </w:rPr>
              <w:t>Name</w:t>
            </w:r>
          </w:p>
          <w:p w:rsidR="0075048C" w:rsidRPr="00624524" w:rsidRDefault="0075048C" w:rsidP="0075048C">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75048C" w:rsidRPr="00D275C7" w:rsidRDefault="00DA23D9" w:rsidP="0075048C">
            <w:pPr>
              <w:widowControl/>
              <w:spacing w:line="300" w:lineRule="auto"/>
              <w:rPr>
                <w:rFonts w:eastAsia="PMingLiU"/>
                <w:kern w:val="0"/>
                <w:lang w:eastAsia="zh-TW"/>
              </w:rPr>
            </w:pPr>
            <w:r w:rsidRPr="00A96E63">
              <w:rPr>
                <w:rFonts w:ascii="PMingLiU" w:eastAsia="PMingLiU" w:hAnsi="PMingLiU" w:hint="eastAsia"/>
                <w:kern w:val="0"/>
                <w:lang w:eastAsia="zh-TW"/>
              </w:rPr>
              <w:t>TSANG HING TO</w:t>
            </w:r>
          </w:p>
        </w:tc>
      </w:tr>
      <w:tr w:rsidR="007A74D9" w:rsidRPr="00A10E43" w:rsidTr="007A6DDF">
        <w:tblPrEx>
          <w:tblLook w:val="0000" w:firstRow="0" w:lastRow="0" w:firstColumn="0" w:lastColumn="0" w:noHBand="0" w:noVBand="0"/>
        </w:tblPrEx>
        <w:trPr>
          <w:trHeight w:val="1116"/>
        </w:trPr>
        <w:tc>
          <w:tcPr>
            <w:tcW w:w="2127" w:type="dxa"/>
            <w:gridSpan w:val="2"/>
          </w:tcPr>
          <w:p w:rsidR="007A74D9" w:rsidRPr="006464A8" w:rsidRDefault="007A74D9" w:rsidP="007A74D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7A74D9" w:rsidRPr="006464A8" w:rsidRDefault="007A74D9" w:rsidP="007A74D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DA23D9" w:rsidRDefault="00DA23D9" w:rsidP="00DA23D9">
            <w:pPr>
              <w:widowControl/>
              <w:spacing w:line="300" w:lineRule="auto"/>
              <w:rPr>
                <w:rFonts w:eastAsia="PMingLiU"/>
                <w:kern w:val="0"/>
                <w:sz w:val="22"/>
                <w:szCs w:val="22"/>
                <w:lang w:eastAsia="zh-TW"/>
              </w:rPr>
            </w:pPr>
            <w:r>
              <w:rPr>
                <w:rFonts w:eastAsia="PMingLiU" w:hint="eastAsia"/>
                <w:kern w:val="0"/>
                <w:sz w:val="22"/>
                <w:szCs w:val="22"/>
                <w:lang w:eastAsia="zh-TW"/>
              </w:rPr>
              <w:t>香港醫管局</w:t>
            </w:r>
          </w:p>
          <w:p w:rsidR="00DA23D9" w:rsidRDefault="00DA23D9" w:rsidP="00DA23D9">
            <w:pPr>
              <w:widowControl/>
              <w:spacing w:line="300" w:lineRule="auto"/>
              <w:rPr>
                <w:rFonts w:eastAsia="PMingLiU"/>
                <w:kern w:val="0"/>
                <w:sz w:val="22"/>
                <w:szCs w:val="22"/>
                <w:lang w:eastAsia="zh-TW"/>
              </w:rPr>
            </w:pPr>
            <w:r>
              <w:rPr>
                <w:rFonts w:eastAsia="PMingLiU" w:hint="eastAsia"/>
                <w:kern w:val="0"/>
                <w:sz w:val="22"/>
                <w:szCs w:val="22"/>
                <w:lang w:eastAsia="zh-TW"/>
              </w:rPr>
              <w:t xml:space="preserve">Hong Kong </w:t>
            </w:r>
            <w:r w:rsidRPr="006F7933">
              <w:rPr>
                <w:rFonts w:eastAsia="PMingLiU"/>
                <w:kern w:val="0"/>
                <w:sz w:val="22"/>
                <w:szCs w:val="22"/>
                <w:lang w:eastAsia="zh-TW"/>
              </w:rPr>
              <w:t>Hospital Authority</w:t>
            </w:r>
          </w:p>
          <w:p w:rsidR="007A74D9" w:rsidRPr="00317035" w:rsidRDefault="007A74D9" w:rsidP="00155A4D">
            <w:pPr>
              <w:widowControl/>
              <w:spacing w:line="300" w:lineRule="auto"/>
              <w:rPr>
                <w:rFonts w:asciiTheme="minorEastAsia" w:eastAsiaTheme="minorEastAsia"/>
                <w:kern w:val="0"/>
                <w:lang w:eastAsia="zh-TW"/>
              </w:rPr>
            </w:pPr>
          </w:p>
        </w:tc>
      </w:tr>
      <w:tr w:rsidR="00155A4D"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155A4D" w:rsidRPr="006464A8" w:rsidRDefault="00155A4D" w:rsidP="00155A4D">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155A4D" w:rsidRPr="006464A8" w:rsidRDefault="00155A4D" w:rsidP="00155A4D">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DA23D9" w:rsidRDefault="00DA23D9" w:rsidP="00DA23D9">
            <w:pPr>
              <w:widowControl/>
              <w:spacing w:line="300" w:lineRule="auto"/>
              <w:rPr>
                <w:rFonts w:eastAsia="PMingLiU"/>
                <w:kern w:val="0"/>
                <w:sz w:val="22"/>
                <w:szCs w:val="22"/>
                <w:lang w:eastAsia="zh-TW"/>
              </w:rPr>
            </w:pPr>
            <w:r w:rsidRPr="006F7933">
              <w:rPr>
                <w:rFonts w:eastAsia="PMingLiU" w:hint="eastAsia"/>
                <w:kern w:val="0"/>
                <w:sz w:val="22"/>
                <w:szCs w:val="22"/>
                <w:lang w:eastAsia="zh-TW"/>
              </w:rPr>
              <w:t>Comparing Diagnostic Utility and Equating Scores of the Montreal Cognitive Assessment-5 Minutes Version (MoCA5) to the Mini-Mental State Examination (MMSE) in patients with Stroke</w:t>
            </w:r>
          </w:p>
          <w:p w:rsidR="00155A4D" w:rsidRDefault="00155A4D" w:rsidP="00155A4D">
            <w:pPr>
              <w:widowControl/>
              <w:spacing w:line="300" w:lineRule="auto"/>
              <w:rPr>
                <w:rFonts w:eastAsia="PMingLiU"/>
                <w:iCs/>
                <w:color w:val="FF0000"/>
                <w:kern w:val="0"/>
                <w:sz w:val="22"/>
                <w:szCs w:val="22"/>
                <w:lang w:eastAsia="zh-TW"/>
              </w:rPr>
            </w:pPr>
          </w:p>
        </w:tc>
      </w:tr>
      <w:tr w:rsidR="00A862E7" w:rsidRPr="00C43F7A"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A862E7" w:rsidRDefault="00A862E7" w:rsidP="00A862E7">
            <w:pPr>
              <w:widowControl/>
              <w:spacing w:line="300" w:lineRule="auto"/>
              <w:rPr>
                <w:rFonts w:eastAsia="PMingLiU"/>
                <w:kern w:val="0"/>
                <w:lang w:eastAsia="zh-TW"/>
              </w:rPr>
            </w:pPr>
            <w:bookmarkStart w:id="0" w:name="_GoBack" w:colFirst="0" w:colLast="1"/>
            <w:r>
              <w:rPr>
                <w:rFonts w:eastAsia="PMingLiU"/>
                <w:kern w:val="0"/>
                <w:lang w:eastAsia="zh-TW"/>
              </w:rPr>
              <w:t>Abstract / ppt</w:t>
            </w:r>
          </w:p>
          <w:p w:rsidR="00A862E7" w:rsidRDefault="00A862E7" w:rsidP="00A862E7">
            <w:pPr>
              <w:widowControl/>
              <w:spacing w:line="300" w:lineRule="auto"/>
              <w:rPr>
                <w:rFonts w:eastAsia="PMingLiU"/>
                <w:kern w:val="0"/>
                <w:lang w:eastAsia="zh-TW"/>
              </w:rPr>
            </w:pPr>
            <w:r>
              <w:rPr>
                <w:rFonts w:eastAsia="PMingLiU" w:hint="eastAsia"/>
                <w:kern w:val="0"/>
                <w:lang w:eastAsia="zh-TW"/>
              </w:rPr>
              <w:t>摘要</w:t>
            </w:r>
            <w:r>
              <w:rPr>
                <w:rFonts w:eastAsia="PMingLiU"/>
                <w:kern w:val="0"/>
                <w:lang w:eastAsia="zh-TW"/>
              </w:rPr>
              <w:t xml:space="preserve"> / </w:t>
            </w:r>
            <w:r>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A862E7" w:rsidRDefault="00A862E7" w:rsidP="00A862E7">
            <w:pPr>
              <w:rPr>
                <w:rFonts w:ascii="Calibri" w:eastAsia="PMingLiU" w:hAnsi="Calibri"/>
                <w:szCs w:val="22"/>
                <w:lang w:eastAsia="zh-TW"/>
              </w:rPr>
            </w:pPr>
            <w:r>
              <w:rPr>
                <w:rFonts w:ascii="Calibri" w:eastAsia="PMingLiU" w:hAnsi="Calibri"/>
                <w:b/>
                <w:szCs w:val="22"/>
                <w:lang w:eastAsia="zh-TW"/>
              </w:rPr>
              <w:t>Background:</w:t>
            </w:r>
            <w:r>
              <w:rPr>
                <w:rFonts w:ascii="Calibri" w:eastAsia="PMingLiU" w:hAnsi="Calibri"/>
                <w:szCs w:val="22"/>
                <w:lang w:eastAsia="zh-TW"/>
              </w:rPr>
              <w:t xml:space="preserve"> Cognitive impairment is common in the aging population, especially prevalent in patients with stroke. Accurate and timely evaluation of cognitive abilities is essential for proper patient management. Two of the most commonly used cognitive screening scales, the mini-mental state examination (MMSE) and the Montreal Cognitive Assessment (MoCA), are widely used in daily clinical practice and research. Yet, performing MoCA is too time-consuming (~15 minutes) as screening test. A newly developed abbreviated version of MoCA, the Montreal Cognitive Assessment-5 minutes version (MoCA5), is suggested to have equal usefulness as MoCA in detecting cognitive impairment in patients with stroke.</w:t>
            </w:r>
          </w:p>
          <w:p w:rsidR="00A862E7" w:rsidRDefault="00A862E7" w:rsidP="00A862E7">
            <w:pPr>
              <w:rPr>
                <w:rFonts w:ascii="Calibri" w:eastAsia="PMingLiU" w:hAnsi="Calibri"/>
                <w:szCs w:val="22"/>
                <w:lang w:eastAsia="zh-TW"/>
              </w:rPr>
            </w:pPr>
            <w:r>
              <w:rPr>
                <w:rFonts w:ascii="Calibri" w:eastAsia="PMingLiU" w:hAnsi="Calibri"/>
                <w:b/>
                <w:szCs w:val="22"/>
                <w:lang w:eastAsia="zh-TW"/>
              </w:rPr>
              <w:t>A</w:t>
            </w:r>
            <w:r>
              <w:rPr>
                <w:rFonts w:ascii="Calibri" w:eastAsia="PMingLiU" w:hAnsi="Calibri"/>
                <w:b/>
                <w:szCs w:val="22"/>
                <w:lang w:eastAsia="zh-HK"/>
              </w:rPr>
              <w:t>ims:</w:t>
            </w:r>
            <w:r>
              <w:rPr>
                <w:rFonts w:ascii="Calibri" w:eastAsia="PMingLiU" w:hAnsi="Calibri"/>
                <w:szCs w:val="22"/>
                <w:lang w:eastAsia="zh-HK"/>
              </w:rPr>
              <w:t xml:space="preserve"> </w:t>
            </w:r>
            <w:r>
              <w:rPr>
                <w:rFonts w:ascii="Calibri" w:eastAsia="PMingLiU" w:hAnsi="Calibri"/>
                <w:szCs w:val="22"/>
                <w:lang w:eastAsia="zh-TW"/>
              </w:rPr>
              <w:t>The study purpose was to compare the diagnostic utility of the MoCA5 to that of the MMSE and to develop equated scores for future administration.</w:t>
            </w:r>
            <w:r>
              <w:rPr>
                <w:rFonts w:ascii="Calibri" w:eastAsia="PMingLiU" w:hAnsi="Calibri"/>
                <w:b/>
                <w:szCs w:val="22"/>
                <w:lang w:eastAsia="zh-TW"/>
              </w:rPr>
              <w:t xml:space="preserve"> </w:t>
            </w:r>
            <w:r>
              <w:rPr>
                <w:rFonts w:ascii="Calibri" w:eastAsia="PMingLiU" w:hAnsi="Calibri"/>
                <w:szCs w:val="22"/>
                <w:lang w:eastAsia="zh-TW"/>
              </w:rPr>
              <w:t>The aims of this analysis were to compare the clinical utility of MoCA5 and MMSE in stroke patients in subacute phase. In addition, a conversion formula was derived between scores of MMSE and MoCA5.</w:t>
            </w:r>
          </w:p>
          <w:p w:rsidR="00A862E7" w:rsidRDefault="00A862E7" w:rsidP="00A862E7">
            <w:pPr>
              <w:rPr>
                <w:rFonts w:ascii="Calibri" w:eastAsia="PMingLiU" w:hAnsi="Calibri"/>
                <w:szCs w:val="22"/>
                <w:lang w:eastAsia="zh-TW"/>
              </w:rPr>
            </w:pPr>
            <w:r>
              <w:rPr>
                <w:rFonts w:ascii="Calibri" w:eastAsia="PMingLiU" w:hAnsi="Calibri"/>
                <w:b/>
                <w:szCs w:val="22"/>
                <w:lang w:eastAsia="zh-TW"/>
              </w:rPr>
              <w:t xml:space="preserve">Method: </w:t>
            </w:r>
            <w:r>
              <w:rPr>
                <w:rFonts w:ascii="Calibri" w:eastAsia="PMingLiU" w:hAnsi="Calibri"/>
                <w:szCs w:val="22"/>
                <w:lang w:eastAsia="zh-TW"/>
              </w:rPr>
              <w:t xml:space="preserve">Patients admitted to medical and/or stroke wards with a primary diagnosis of stroke were recruited. All participants in the clinical sample were administered the MoCA5 and the MMSE during initial interview. The MMSE-MoCA5 relationship was examined retrospectively in a sample of 147 stroke patients. Pearson’s correlation coefficient and simple linear regression were computed. Conversion table of MMSE-MoCA5 was derived after the analysis. </w:t>
            </w:r>
          </w:p>
          <w:p w:rsidR="00A862E7" w:rsidRDefault="00A862E7" w:rsidP="00A862E7">
            <w:pPr>
              <w:rPr>
                <w:rFonts w:ascii="Calibri" w:eastAsia="PMingLiU" w:hAnsi="Calibri"/>
                <w:szCs w:val="22"/>
                <w:lang w:eastAsia="zh-TW"/>
              </w:rPr>
            </w:pPr>
            <w:r>
              <w:rPr>
                <w:rFonts w:ascii="Calibri" w:eastAsia="PMingLiU" w:hAnsi="Calibri"/>
                <w:b/>
                <w:szCs w:val="22"/>
                <w:lang w:eastAsia="zh-TW"/>
              </w:rPr>
              <w:t xml:space="preserve">Results: </w:t>
            </w:r>
            <w:r>
              <w:rPr>
                <w:rFonts w:ascii="Calibri" w:eastAsia="PMingLiU" w:hAnsi="Calibri"/>
                <w:szCs w:val="22"/>
                <w:lang w:eastAsia="zh-TW"/>
              </w:rPr>
              <w:t xml:space="preserve">MoCA5 total score was found to be significantly correlated with the total MMSE score. Pearson’s r was used to examine the relationship between MMSE and MoCA5 in individuals with subacute stroke. A statistically significant result was found. Simple linear regression was used to predict MMSE </w:t>
            </w:r>
            <w:r>
              <w:rPr>
                <w:rFonts w:ascii="Calibri" w:eastAsia="PMingLiU" w:hAnsi="Calibri"/>
                <w:szCs w:val="22"/>
                <w:lang w:eastAsia="zh-TW"/>
              </w:rPr>
              <w:lastRenderedPageBreak/>
              <w:t xml:space="preserve">score from MoCA5 score in the sample. Statistical analysis showed that MoCA5 was a significant predictor of MMSE. </w:t>
            </w:r>
            <w:r>
              <w:rPr>
                <w:rFonts w:ascii="Calibri" w:eastAsia="PMingLiU" w:hAnsi="Calibri"/>
                <w:b/>
                <w:szCs w:val="22"/>
                <w:lang w:eastAsia="zh-TW"/>
              </w:rPr>
              <w:t>Conclusion:</w:t>
            </w:r>
            <w:r>
              <w:rPr>
                <w:rFonts w:ascii="Calibri" w:eastAsia="PMingLiU" w:hAnsi="Calibri"/>
                <w:szCs w:val="22"/>
                <w:lang w:eastAsia="zh-TW"/>
              </w:rPr>
              <w:t xml:space="preserve"> MoCA5 has been shown to have diagnostic utility as a cognitive screening and detecting cognitive impairment in patients with stroke. A MMSE-MoCA5 conversion table could also be made. MoCA5 could be used as a quick and practical cognitive screening scale for daily use.</w:t>
            </w:r>
          </w:p>
          <w:p w:rsidR="00A862E7" w:rsidRDefault="00A862E7" w:rsidP="00A862E7">
            <w:pPr>
              <w:widowControl/>
              <w:spacing w:line="300" w:lineRule="auto"/>
              <w:rPr>
                <w:rFonts w:eastAsia="PMingLiU"/>
                <w:i/>
                <w:color w:val="FF0000"/>
                <w:kern w:val="0"/>
                <w:sz w:val="22"/>
                <w:szCs w:val="22"/>
                <w:lang w:eastAsia="zh-TW"/>
              </w:rPr>
            </w:pPr>
            <w:r>
              <w:rPr>
                <w:rFonts w:eastAsia="PMingLiU"/>
                <w:i/>
                <w:color w:val="FF0000"/>
                <w:kern w:val="0"/>
                <w:sz w:val="22"/>
                <w:szCs w:val="22"/>
                <w:lang w:eastAsia="zh-TW"/>
              </w:rPr>
              <w:t xml:space="preserve"> (We plan to put the information in internet for participant to download, so you could either provide an abstract or ppt of your presentation)</w:t>
            </w:r>
          </w:p>
          <w:p w:rsidR="00A862E7" w:rsidRDefault="00A862E7" w:rsidP="00A862E7">
            <w:pPr>
              <w:widowControl/>
              <w:spacing w:line="300" w:lineRule="auto"/>
              <w:rPr>
                <w:rFonts w:eastAsia="PMingLiU"/>
                <w:i/>
                <w:color w:val="FF0000"/>
                <w:kern w:val="0"/>
                <w:sz w:val="22"/>
                <w:szCs w:val="22"/>
                <w:lang w:eastAsia="zh-TW"/>
              </w:rPr>
            </w:pPr>
            <w:r>
              <w:rPr>
                <w:rFonts w:eastAsia="PMingLiU"/>
                <w:i/>
                <w:color w:val="FF0000"/>
                <w:kern w:val="0"/>
                <w:sz w:val="22"/>
                <w:szCs w:val="22"/>
                <w:lang w:eastAsia="zh-TW"/>
              </w:rPr>
              <w:t>(</w:t>
            </w:r>
            <w:r>
              <w:rPr>
                <w:rFonts w:eastAsia="PMingLiU" w:hint="eastAsia"/>
                <w:i/>
                <w:color w:val="FF0000"/>
                <w:kern w:val="0"/>
                <w:sz w:val="22"/>
                <w:szCs w:val="22"/>
                <w:lang w:eastAsia="zh-TW"/>
              </w:rPr>
              <w:t>我們計畫把資料放在雲盤給參加者下載，請提供摘要或</w:t>
            </w:r>
            <w:r>
              <w:rPr>
                <w:rFonts w:eastAsia="PMingLiU"/>
                <w:i/>
                <w:color w:val="FF0000"/>
                <w:kern w:val="0"/>
                <w:sz w:val="22"/>
                <w:szCs w:val="22"/>
                <w:lang w:eastAsia="zh-TW"/>
              </w:rPr>
              <w:t>ppt)</w:t>
            </w:r>
          </w:p>
        </w:tc>
      </w:tr>
      <w:bookmarkEnd w:id="0"/>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A9F8C92"/>
    <w:multiLevelType w:val="singleLevel"/>
    <w:tmpl w:val="5A9F8C92"/>
    <w:lvl w:ilvl="0">
      <w:start w:val="2"/>
      <w:numFmt w:val="upperLetter"/>
      <w:lvlText w:val="%1."/>
      <w:lvlJc w:val="left"/>
      <w:pPr>
        <w:tabs>
          <w:tab w:val="num" w:pos="312"/>
        </w:tabs>
      </w:pPr>
    </w:lvl>
  </w:abstractNum>
  <w:abstractNum w:abstractNumId="4"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10"/>
  </w:num>
  <w:num w:numId="4">
    <w:abstractNumId w:val="2"/>
  </w:num>
  <w:num w:numId="5">
    <w:abstractNumId w:val="4"/>
  </w:num>
  <w:num w:numId="6">
    <w:abstractNumId w:val="11"/>
  </w:num>
  <w:num w:numId="7">
    <w:abstractNumId w:val="5"/>
  </w:num>
  <w:num w:numId="8">
    <w:abstractNumId w:val="0"/>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94DFF"/>
    <w:rsid w:val="002D0C3A"/>
    <w:rsid w:val="002F52E7"/>
    <w:rsid w:val="00317035"/>
    <w:rsid w:val="0036013E"/>
    <w:rsid w:val="00365E01"/>
    <w:rsid w:val="003710EB"/>
    <w:rsid w:val="00382A55"/>
    <w:rsid w:val="003E7E78"/>
    <w:rsid w:val="00420B8E"/>
    <w:rsid w:val="00425618"/>
    <w:rsid w:val="004404B7"/>
    <w:rsid w:val="004B12F6"/>
    <w:rsid w:val="004C2E43"/>
    <w:rsid w:val="005360EE"/>
    <w:rsid w:val="005376B1"/>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656E"/>
    <w:rsid w:val="00927B97"/>
    <w:rsid w:val="00931A4D"/>
    <w:rsid w:val="00934A15"/>
    <w:rsid w:val="009600FF"/>
    <w:rsid w:val="009A49BD"/>
    <w:rsid w:val="009C02CA"/>
    <w:rsid w:val="009D26C1"/>
    <w:rsid w:val="00A27B88"/>
    <w:rsid w:val="00A42EF6"/>
    <w:rsid w:val="00A666A0"/>
    <w:rsid w:val="00A7688A"/>
    <w:rsid w:val="00A862E7"/>
    <w:rsid w:val="00AE3D8B"/>
    <w:rsid w:val="00B32694"/>
    <w:rsid w:val="00B678E0"/>
    <w:rsid w:val="00C039BC"/>
    <w:rsid w:val="00C31AF3"/>
    <w:rsid w:val="00C66BEA"/>
    <w:rsid w:val="00CC5C43"/>
    <w:rsid w:val="00CF4366"/>
    <w:rsid w:val="00CF7BB8"/>
    <w:rsid w:val="00D0002B"/>
    <w:rsid w:val="00D55B28"/>
    <w:rsid w:val="00DA23D9"/>
    <w:rsid w:val="00E201D2"/>
    <w:rsid w:val="00E7014D"/>
    <w:rsid w:val="00E82CC4"/>
    <w:rsid w:val="00E84F43"/>
    <w:rsid w:val="00E851CD"/>
    <w:rsid w:val="00E97A22"/>
    <w:rsid w:val="00EB3FBD"/>
    <w:rsid w:val="00ED3CCD"/>
    <w:rsid w:val="00F011C0"/>
    <w:rsid w:val="00F11459"/>
    <w:rsid w:val="00F30417"/>
    <w:rsid w:val="00F40B31"/>
    <w:rsid w:val="00F46CF8"/>
    <w:rsid w:val="00F921E7"/>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2018-03-26T14:24:00Z</dcterms:created>
  <dcterms:modified xsi:type="dcterms:W3CDTF">2018-03-26T14:24:00Z</dcterms:modified>
</cp:coreProperties>
</file>